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Индивидуальный предприниматель ________________ (ОГРНИП ________________, ИНН ________________, адрес регистрации: ________________), действующий(ая) лично / в лице ________________ по доверенности ________________ (ненужное зачеркнуть),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Покупатель оплачивает цену безналичным переводом на счёт Продавца ________________. Обязанность по оплате исполнена в день зачисления денег на счёт Продавца.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За просрочку оплаты Покупатель уплачивает Продавцу неустойку ________________ % от неоплаченной суммы за каждый день просрочки, но не более 10 % цены. Если ставка не указана — проценты по ст. 395 ГК РФ.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При передаче Продавец оформляет универсальный передаточный документ (УПД) или товарную накладную и, если является плательщиком НДС, счёт-фактуру.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приёмка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 акту приёма-передачи (приложение № 1) ________________ по адресу: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Покупатель при приёмке проверяет Автомобиль по комплектности и внешнему состоянию. Недостатки, которые можно обнаружить при обычном осмотре и не отмеченные в акте, Покупатель позже не заявляет (ст. 474, 513 ГК РФ — по аналогии).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Право собственности переходит к Покупателю ________________. Если момент не указан — в момент подписания акта при полной оплате; при отсрочке оплаты — в момент полной оплаты (ст. 491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Каждая Сторона заверяет, что лицо, подписавшее договор от её имени, вправе его подписывать, а необходимые корпоративные одобрения сделки получены.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Если заверение окажется недостоверным, другая Сторона вправе потребовать возмещения убытков и (или) отказаться от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Качество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Продавец сообщил о следующих недостатках и повреждениях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не отвечает за недостатки, указанные в п. 6.1, а также за износ, обычный для Автомобиля с указанным пробегом. Гарантийный срок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данных, если Автомобиль не приобретается для перепродажи в случаях, когда закон позволяет не регистрировать его (ст. 18 283-ФЗ).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прекратить государственный учёт Автомобиля за собой по истечении 10 дней со дня передачи, если регистрационные данные не изменены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Штрафы за нарушения после подписания акта (дата и время — в акте) оплачивает Покупатель; уплаченные Продавцом — возмещает в течение 10 рабочих дней после требования.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Претензионный порядок обязателен; срок ответа на претензию — ________________ рабочих дней (если не указан — 30 календарных дней, ч. 5 ст. 4 АПК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рассматриваются арбитражным судом по месту нахождения ________________; если не указано — истца.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ИП ________________, ОГРНИП ________________, ИНН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